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仿宋_GB2312"/>
          <w:sz w:val="18"/>
          <w:szCs w:val="18"/>
        </w:rPr>
      </w:pPr>
      <w:r>
        <w:pict>
          <v:shape id="_x0000_s1026" o:spid="_x0000_s1026" o:spt="75" type="#_x0000_t75" style="position:absolute;left:0pt;margin-left:-77.2pt;margin-top:-106.55pt;height:340.55pt;width:595.4pt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7" cropbottom="39052f" o:title=""/>
            <o:lock v:ext="edit" aspectratio="t"/>
          </v:shape>
        </w:pict>
      </w:r>
    </w:p>
    <w:p>
      <w:pPr>
        <w:spacing w:line="480" w:lineRule="exact"/>
        <w:rPr>
          <w:rFonts w:ascii="Times New Roman" w:hAnsi="Times New Roman" w:eastAsia="仿宋_GB2312"/>
          <w:sz w:val="18"/>
          <w:szCs w:val="18"/>
        </w:rPr>
      </w:pPr>
    </w:p>
    <w:p>
      <w:pPr>
        <w:spacing w:line="480" w:lineRule="exact"/>
        <w:rPr>
          <w:rFonts w:ascii="Times New Roman" w:hAnsi="Times New Roman" w:eastAsia="仿宋_GB2312"/>
          <w:sz w:val="18"/>
          <w:szCs w:val="18"/>
        </w:rPr>
      </w:pPr>
    </w:p>
    <w:p>
      <w:pPr>
        <w:spacing w:line="480" w:lineRule="exact"/>
        <w:rPr>
          <w:rFonts w:ascii="Times New Roman" w:hAnsi="Times New Roman" w:eastAsia="仿宋_GB2312"/>
          <w:sz w:val="18"/>
          <w:szCs w:val="18"/>
        </w:rPr>
      </w:pPr>
    </w:p>
    <w:p>
      <w:pPr>
        <w:spacing w:line="400" w:lineRule="exact"/>
        <w:rPr>
          <w:rFonts w:ascii="Times New Roman" w:hAnsi="Times New Roman" w:eastAsia="仿宋_GB2312"/>
          <w:sz w:val="18"/>
          <w:szCs w:val="18"/>
        </w:rPr>
      </w:pPr>
    </w:p>
    <w:p>
      <w:pPr>
        <w:spacing w:line="720" w:lineRule="exact"/>
        <w:ind w:right="357"/>
        <w:rPr>
          <w:rFonts w:ascii="Times New Roman" w:hAnsi="Times New Roman" w:eastAsia="仿宋_GB2312"/>
          <w:sz w:val="18"/>
          <w:szCs w:val="18"/>
        </w:rPr>
      </w:pPr>
    </w:p>
    <w:p>
      <w:pPr>
        <w:spacing w:line="840" w:lineRule="exact"/>
        <w:ind w:right="357"/>
        <w:rPr>
          <w:rFonts w:ascii="Times New Roman" w:hAnsi="Times New Roman" w:eastAsia="仿宋_GB2312"/>
          <w:sz w:val="18"/>
          <w:szCs w:val="18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绍商务〔</w:t>
      </w: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2020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〕</w:t>
      </w: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号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/>
          <w:b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/>
          <w:b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44"/>
          <w:szCs w:val="44"/>
        </w:rPr>
        <w:t>绍兴市商务局关于</w:t>
      </w:r>
      <w:r>
        <w:rPr>
          <w:rFonts w:ascii="方正小标宋简体" w:hAnsi="Times New Roman" w:eastAsia="方正小标宋简体"/>
          <w:snapToGrid w:val="0"/>
          <w:color w:val="000000"/>
          <w:kern w:val="0"/>
          <w:sz w:val="44"/>
          <w:szCs w:val="44"/>
        </w:rPr>
        <w:t>2019</w:t>
      </w: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snapToGrid w:val="0"/>
          <w:color w:val="000000"/>
          <w:kern w:val="0"/>
          <w:sz w:val="44"/>
          <w:szCs w:val="44"/>
        </w:rPr>
        <w:t>法治政府建设情况的报告</w:t>
      </w:r>
    </w:p>
    <w:p>
      <w:pPr>
        <w:spacing w:line="580" w:lineRule="exact"/>
        <w:ind w:firstLine="643" w:firstLineChars="200"/>
        <w:rPr>
          <w:rFonts w:ascii="Times New Roman" w:hAnsi="Times New Roman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绍兴市人民政府：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napToGrid w:val="0"/>
          <w:color w:val="000000"/>
          <w:sz w:val="32"/>
          <w:szCs w:val="32"/>
        </w:rPr>
        <w:t>今年以来，在市委、市政府的正确领导下，市商务局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积极推进法治政府建设工作有效落实，为推动商务经济高质量发展提供有力支撑。现将我局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2019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年度法治政府建设工作开展情况报告如下：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color w:val="111111"/>
          <w:sz w:val="32"/>
          <w:szCs w:val="32"/>
          <w:shd w:val="clear" w:color="auto" w:fill="FFFFFF"/>
        </w:rPr>
        <w:t>一、加强组织领导，深入推进法治政府建设</w:t>
      </w:r>
      <w:r>
        <w:rPr>
          <w:rFonts w:ascii="Times New Roman" w:hAnsi="Times New Roman" w:eastAsia="黑体"/>
          <w:color w:val="111111"/>
          <w:sz w:val="32"/>
          <w:szCs w:val="32"/>
          <w:shd w:val="clear" w:color="auto" w:fill="FFFFFF"/>
        </w:rPr>
        <w:br w:type="textWrapping"/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建立法治建设工作一把手总负责、分管领导亲自抓、法制机构负责人具体落实的工作机制，局办公室负责法治建设日常工作。局党委高度重视商务系统法治建设工作，</w:t>
      </w:r>
      <w:r>
        <w:rPr>
          <w:rFonts w:hint="eastAsia" w:ascii="Times New Roman" w:hAnsi="Times New Roman" w:eastAsia="仿宋_GB2312"/>
          <w:sz w:val="32"/>
          <w:szCs w:val="32"/>
        </w:rPr>
        <w:t>定期专题研究法治政府建设工作，明确了法治政府建设任务，确保各项工作落到实处。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111111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color w:val="111111"/>
          <w:sz w:val="32"/>
          <w:szCs w:val="32"/>
          <w:shd w:val="clear" w:color="auto" w:fill="FFFFFF"/>
        </w:rPr>
        <w:t>二、健全决策机制，着力增强依法科学民主决策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111111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仿宋_GB2312"/>
          <w:b/>
          <w:bCs/>
          <w:color w:val="111111"/>
          <w:sz w:val="32"/>
          <w:szCs w:val="32"/>
          <w:shd w:val="clear" w:color="auto" w:fill="FFFFFF"/>
        </w:rPr>
        <w:t>规范重大决策程序。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严格执行重大行政决策程序规定，进一步健全重大行政决策论证、专家咨询、公众参与和专业机构测评相结合的评估机制。我局在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19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年年初机构改革过程中，严格依据重大决策程序确定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 xml:space="preserve"> “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三定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规定，并顺利完成局机构改革转隶组建及人员划转工作。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111111"/>
          <w:sz w:val="32"/>
          <w:szCs w:val="32"/>
          <w:shd w:val="clear" w:color="auto" w:fill="FFFFFF"/>
        </w:rPr>
        <w:t>2.</w:t>
      </w:r>
      <w:r>
        <w:rPr>
          <w:rFonts w:hint="eastAsia" w:ascii="Times New Roman" w:hAnsi="Times New Roman" w:eastAsia="仿宋_GB2312"/>
          <w:b/>
          <w:bCs/>
          <w:color w:val="111111"/>
          <w:sz w:val="32"/>
          <w:szCs w:val="32"/>
          <w:shd w:val="clear" w:color="auto" w:fill="FFFFFF"/>
        </w:rPr>
        <w:t>加强行政规范性文件监督管理。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严格执行规范性文件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三统一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（统一登记、统一编号、统一发布）制度。执行规范性文件合法性审查程序，树立行政规范性文件前置法律审核意识，主动邀请专家、法律顾问参与行政规范性文件的审查。做好市本级规范性文件和部门名义发文的规范性文件清理工作，并将清理结果以文件形式对外公布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111111"/>
          <w:sz w:val="32"/>
          <w:szCs w:val="32"/>
          <w:shd w:val="clear" w:color="auto" w:fill="FFFFFF"/>
        </w:rPr>
        <w:t>3.</w:t>
      </w:r>
      <w:r>
        <w:rPr>
          <w:rFonts w:hint="eastAsia" w:ascii="Times New Roman" w:hAnsi="Times New Roman" w:eastAsia="仿宋_GB2312"/>
          <w:b/>
          <w:bCs/>
          <w:color w:val="111111"/>
          <w:sz w:val="32"/>
          <w:szCs w:val="32"/>
          <w:shd w:val="clear" w:color="auto" w:fill="FFFFFF"/>
        </w:rPr>
        <w:t>充分发挥政府法律顾问作用。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聘请浙江学通律师事务所孔天喜律师作为常年法律顾问，为我局相关业务事宜出具法律意见书、进行合法性论证等。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111111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color w:val="111111"/>
          <w:sz w:val="32"/>
          <w:szCs w:val="32"/>
          <w:shd w:val="clear" w:color="auto" w:fill="FFFFFF"/>
        </w:rPr>
        <w:t>三、开展学习培训，全面提高依法行政工作</w:t>
      </w:r>
    </w:p>
    <w:p>
      <w:pPr>
        <w:pStyle w:val="5"/>
        <w:widowControl w:val="0"/>
        <w:spacing w:before="0" w:beforeAutospacing="0" w:after="0" w:afterAutospacing="0" w:line="580" w:lineRule="exact"/>
        <w:ind w:firstLine="643" w:firstLineChars="200"/>
        <w:jc w:val="both"/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111111"/>
          <w:kern w:val="2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仿宋_GB2312"/>
          <w:b/>
          <w:bCs/>
          <w:color w:val="111111"/>
          <w:kern w:val="2"/>
          <w:sz w:val="32"/>
          <w:szCs w:val="32"/>
          <w:shd w:val="clear" w:color="auto" w:fill="FFFFFF"/>
        </w:rPr>
        <w:t>健全学法用法长效机制。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通过理论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  <w:lang w:val="en-US" w:eastAsia="zh-CN"/>
        </w:rPr>
        <w:t>学习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中心组，法治讲座等形式，深入学习贯彻习近平总书记全面依法治国新理念新思想新战略，加快推进法治建设；多次专题研究学习商务执法事项、《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  <w:lang w:val="en-US" w:eastAsia="zh-CN"/>
        </w:rPr>
        <w:t>中华人民共和国</w:t>
      </w:r>
      <w:bookmarkStart w:id="0" w:name="_GoBack"/>
      <w:bookmarkEnd w:id="0"/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外商投资法》工作，实现法治建设与当前工作的深度结合、统筹推进。按照年度工作计划，落实领导干部、机关干部的学法用法工作，增强领导和干部职工依法决策、依法管理的意识和能力。</w:t>
      </w:r>
    </w:p>
    <w:p>
      <w:pPr>
        <w:pStyle w:val="5"/>
        <w:widowControl w:val="0"/>
        <w:spacing w:before="0" w:beforeAutospacing="0" w:after="0" w:afterAutospacing="0" w:line="580" w:lineRule="exact"/>
        <w:ind w:firstLine="643" w:firstLineChars="200"/>
        <w:jc w:val="both"/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111111"/>
          <w:kern w:val="2"/>
          <w:sz w:val="32"/>
          <w:szCs w:val="32"/>
          <w:shd w:val="clear" w:color="auto" w:fill="FFFFFF"/>
        </w:rPr>
        <w:t>2.</w:t>
      </w:r>
      <w:r>
        <w:rPr>
          <w:rFonts w:hint="eastAsia" w:ascii="Times New Roman" w:hAnsi="Times New Roman" w:eastAsia="仿宋_GB2312"/>
          <w:b/>
          <w:bCs/>
          <w:color w:val="111111"/>
          <w:kern w:val="2"/>
          <w:sz w:val="32"/>
          <w:szCs w:val="32"/>
          <w:shd w:val="clear" w:color="auto" w:fill="FFFFFF"/>
        </w:rPr>
        <w:t>做好干部申领行政执法证工作。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积极组织发动符合条件的人员参加行政执法证培训及考试，做到以考促学，不断提高干部职工依法行政能力。目前，我局共有</w:t>
      </w:r>
      <w:r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18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名执法人员领到行政执法证。</w:t>
      </w:r>
    </w:p>
    <w:p>
      <w:pPr>
        <w:pStyle w:val="5"/>
        <w:widowControl w:val="0"/>
        <w:spacing w:before="0" w:beforeAutospacing="0" w:after="0" w:afterAutospacing="0" w:line="580" w:lineRule="exact"/>
        <w:ind w:firstLine="643" w:firstLineChars="200"/>
        <w:jc w:val="both"/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111111"/>
          <w:kern w:val="2"/>
          <w:sz w:val="32"/>
          <w:szCs w:val="32"/>
          <w:shd w:val="clear" w:color="auto" w:fill="FFFFFF"/>
        </w:rPr>
        <w:t>3.</w:t>
      </w:r>
      <w:r>
        <w:rPr>
          <w:rFonts w:hint="eastAsia" w:ascii="Times New Roman" w:hAnsi="Times New Roman" w:eastAsia="仿宋_GB2312"/>
          <w:b/>
          <w:bCs/>
          <w:color w:val="111111"/>
          <w:kern w:val="2"/>
          <w:sz w:val="32"/>
          <w:szCs w:val="32"/>
          <w:shd w:val="clear" w:color="auto" w:fill="FFFFFF"/>
        </w:rPr>
        <w:t>组织干部参加学法用法轮训和考核。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组织安排</w:t>
      </w:r>
      <w:r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名干部到绍兴市委党校进行学法用法培训，以提升我局工作人员的法治意识、法律素养和职业道德水平，所有轮训人员考试均合格。</w:t>
      </w:r>
    </w:p>
    <w:p>
      <w:pPr>
        <w:pStyle w:val="5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黑体"/>
          <w:color w:val="111111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color w:val="111111"/>
          <w:sz w:val="32"/>
          <w:szCs w:val="32"/>
          <w:shd w:val="clear" w:color="auto" w:fill="FFFFFF"/>
        </w:rPr>
        <w:t>四、履行部门职能，依法推进商务重点工作</w:t>
      </w:r>
    </w:p>
    <w:p>
      <w:pPr>
        <w:pStyle w:val="5"/>
        <w:widowControl w:val="0"/>
        <w:spacing w:before="0" w:beforeAutospacing="0" w:after="0" w:afterAutospacing="0" w:line="580" w:lineRule="exact"/>
        <w:ind w:firstLine="643" w:firstLineChars="200"/>
        <w:jc w:val="both"/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111111"/>
          <w:kern w:val="2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仿宋_GB2312"/>
          <w:b/>
          <w:bCs/>
          <w:color w:val="111111"/>
          <w:kern w:val="2"/>
          <w:sz w:val="32"/>
          <w:szCs w:val="32"/>
          <w:shd w:val="clear" w:color="auto" w:fill="FFFFFF"/>
        </w:rPr>
        <w:t>深化商务领域最多跑一次改革。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去年，市外商投资企业新设备案</w:t>
      </w:r>
      <w:r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194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家，变更备案</w:t>
      </w:r>
      <w:r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573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家；外商投资企业备案权全部下放，方便企业属地办理，办理期限由</w:t>
      </w:r>
      <w:r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“3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个工作日</w:t>
      </w:r>
      <w:r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压缩至</w:t>
      </w:r>
      <w:r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即办</w:t>
      </w:r>
      <w:r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；外商投资设立企业通过商务备案和工商登记</w:t>
      </w:r>
      <w:r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一口办理</w:t>
      </w:r>
      <w:r>
        <w:rPr>
          <w:rFonts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_GB2312"/>
          <w:color w:val="111111"/>
          <w:kern w:val="2"/>
          <w:sz w:val="32"/>
          <w:szCs w:val="32"/>
          <w:shd w:val="clear" w:color="auto" w:fill="FFFFFF"/>
        </w:rPr>
        <w:t>，进一步提升了外商投资便利化水平。</w:t>
      </w:r>
    </w:p>
    <w:p>
      <w:pPr>
        <w:pStyle w:val="5"/>
        <w:widowControl w:val="0"/>
        <w:spacing w:before="0" w:beforeAutospacing="0" w:after="0" w:afterAutospacing="0" w:line="580" w:lineRule="exact"/>
        <w:ind w:firstLine="643" w:firstLineChars="200"/>
        <w:jc w:val="both"/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111111"/>
          <w:kern w:val="2"/>
          <w:sz w:val="32"/>
          <w:szCs w:val="32"/>
          <w:shd w:val="clear" w:color="auto" w:fill="FFFFFF"/>
        </w:rPr>
        <w:t>2.</w:t>
      </w:r>
      <w:r>
        <w:rPr>
          <w:rFonts w:hint="eastAsia" w:ascii="Times New Roman" w:hAnsi="Times New Roman" w:eastAsia="仿宋_GB2312"/>
          <w:b/>
          <w:bCs/>
          <w:color w:val="111111"/>
          <w:kern w:val="2"/>
          <w:sz w:val="32"/>
          <w:szCs w:val="32"/>
          <w:shd w:val="clear" w:color="auto" w:fill="FFFFFF"/>
        </w:rPr>
        <w:t>加强国际贸易等涉外法律服务。</w:t>
      </w:r>
      <w:r>
        <w:rPr>
          <w:rFonts w:hint="eastAsia" w:ascii="Times New Roman" w:hAnsi="Times New Roman" w:eastAsia="仿宋_GB2312"/>
          <w:b/>
          <w:bCs/>
          <w:color w:val="111111"/>
          <w:sz w:val="32"/>
          <w:szCs w:val="32"/>
          <w:shd w:val="clear" w:color="auto" w:fill="FFFFFF"/>
        </w:rPr>
        <w:t>一是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开展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2019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外经贸法律服务活动。邀请涉外（国际贸易）律师（专家）开展专题法律培训，全市已举办外贸主体培训活动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19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场，参加企业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2625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家。</w:t>
      </w:r>
      <w:r>
        <w:rPr>
          <w:rFonts w:hint="eastAsia" w:ascii="Times New Roman" w:hAnsi="Times New Roman" w:eastAsia="仿宋_GB2312"/>
          <w:b/>
          <w:bCs/>
          <w:color w:val="111111"/>
          <w:sz w:val="32"/>
          <w:szCs w:val="32"/>
          <w:shd w:val="clear" w:color="auto" w:fill="FFFFFF"/>
        </w:rPr>
        <w:t>二是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积极帮助企业应对贸易摩擦。开展两反一补案件排查工作，排查来自印度、墨西哥、美国、阿根廷、土耳其等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19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个国家的贸易救济调查案件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89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起，涉案排查金额</w:t>
      </w:r>
      <w:r>
        <w:rPr>
          <w:rFonts w:ascii="Times New Roman" w:hAnsi="Times New Roman" w:eastAsia="仿宋_GB2312"/>
          <w:kern w:val="2"/>
          <w:sz w:val="32"/>
          <w:szCs w:val="32"/>
        </w:rPr>
        <w:t>50810.4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万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美元，涉及排查企业</w:t>
      </w:r>
      <w:r>
        <w:rPr>
          <w:rFonts w:ascii="Times New Roman" w:hAnsi="Times New Roman" w:eastAsia="仿宋_GB2312"/>
          <w:kern w:val="2"/>
          <w:sz w:val="32"/>
          <w:szCs w:val="32"/>
        </w:rPr>
        <w:t>2098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家。召开印尼三项纺织品保障措施初裁前应对会，积极协助企业应对印尼保障措施调查案件。</w:t>
      </w:r>
    </w:p>
    <w:p>
      <w:pPr>
        <w:pStyle w:val="5"/>
        <w:widowControl w:val="0"/>
        <w:spacing w:before="0" w:beforeAutospacing="0" w:after="0" w:afterAutospacing="0" w:line="580" w:lineRule="exact"/>
        <w:ind w:firstLine="643" w:firstLineChars="200"/>
        <w:jc w:val="both"/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111111"/>
          <w:kern w:val="2"/>
          <w:sz w:val="32"/>
          <w:szCs w:val="32"/>
          <w:shd w:val="clear" w:color="auto" w:fill="FFFFFF"/>
        </w:rPr>
        <w:t>3.</w:t>
      </w:r>
      <w:r>
        <w:rPr>
          <w:rFonts w:hint="eastAsia" w:ascii="Times New Roman" w:hAnsi="Times New Roman" w:eastAsia="仿宋_GB2312"/>
          <w:b/>
          <w:bCs/>
          <w:color w:val="111111"/>
          <w:kern w:val="2"/>
          <w:sz w:val="32"/>
          <w:szCs w:val="32"/>
          <w:shd w:val="clear" w:color="auto" w:fill="FFFFFF"/>
        </w:rPr>
        <w:t>推动重点领域商务立法。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积极落实绍兴市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19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年度立法工作，为指引绍兴老字号可持续发展，对绍兴老字号保护发展办法（草案）》做了进一步完善。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111111"/>
          <w:sz w:val="32"/>
          <w:szCs w:val="32"/>
          <w:shd w:val="clear" w:color="auto" w:fill="FFFFFF"/>
        </w:rPr>
        <w:t>4.</w:t>
      </w:r>
      <w:r>
        <w:rPr>
          <w:rFonts w:hint="eastAsia" w:ascii="Times New Roman" w:hAnsi="Times New Roman" w:eastAsia="仿宋_GB2312"/>
          <w:b/>
          <w:bCs/>
          <w:color w:val="111111"/>
          <w:sz w:val="32"/>
          <w:szCs w:val="32"/>
          <w:shd w:val="clear" w:color="auto" w:fill="FFFFFF"/>
        </w:rPr>
        <w:t>突出执法重点，确保商务执法效果。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一是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建立</w:t>
      </w:r>
      <w:r>
        <w:rPr>
          <w:rFonts w:hint="eastAsia" w:ascii="Times New Roman" w:hAnsi="Times New Roman" w:eastAsia="仿宋_GB2312"/>
          <w:sz w:val="32"/>
          <w:szCs w:val="32"/>
        </w:rPr>
        <w:t>加油站信用评定机制。制定统一标准对全市</w:t>
      </w:r>
      <w:r>
        <w:rPr>
          <w:rFonts w:ascii="Times New Roman" w:hAnsi="Times New Roman" w:eastAsia="仿宋_GB2312"/>
          <w:sz w:val="32"/>
          <w:szCs w:val="32"/>
        </w:rPr>
        <w:t>272</w:t>
      </w:r>
      <w:r>
        <w:rPr>
          <w:rFonts w:hint="eastAsia" w:ascii="Times New Roman" w:hAnsi="Times New Roman" w:eastAsia="仿宋_GB2312"/>
          <w:sz w:val="32"/>
          <w:szCs w:val="32"/>
        </w:rPr>
        <w:t>家加油站全覆盖检查，评定年度失信加油站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家并移交处理。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二是</w:t>
      </w:r>
      <w:r>
        <w:rPr>
          <w:rFonts w:hint="eastAsia" w:ascii="Times New Roman" w:hAnsi="Times New Roman" w:eastAsia="仿宋_GB2312"/>
          <w:sz w:val="32"/>
          <w:szCs w:val="32"/>
        </w:rPr>
        <w:t>建立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安心码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身份查验机制。全市</w:t>
      </w:r>
      <w:r>
        <w:rPr>
          <w:rFonts w:ascii="Times New Roman" w:hAnsi="Times New Roman" w:eastAsia="仿宋_GB2312"/>
          <w:sz w:val="32"/>
          <w:szCs w:val="32"/>
        </w:rPr>
        <w:t>6000</w:t>
      </w:r>
      <w:r>
        <w:rPr>
          <w:rFonts w:hint="eastAsia" w:ascii="Times New Roman" w:hAnsi="Times New Roman" w:eastAsia="仿宋_GB2312"/>
          <w:sz w:val="32"/>
          <w:szCs w:val="32"/>
        </w:rPr>
        <w:t>余名家政服务员、</w:t>
      </w:r>
      <w:r>
        <w:rPr>
          <w:rFonts w:ascii="Times New Roman" w:hAnsi="Times New Roman" w:eastAsia="仿宋_GB2312"/>
          <w:sz w:val="32"/>
          <w:szCs w:val="32"/>
        </w:rPr>
        <w:t>6.5</w:t>
      </w:r>
      <w:r>
        <w:rPr>
          <w:rFonts w:hint="eastAsia" w:ascii="Times New Roman" w:hAnsi="Times New Roman" w:eastAsia="仿宋_GB2312"/>
          <w:sz w:val="32"/>
          <w:szCs w:val="32"/>
        </w:rPr>
        <w:t>万人次加装散装汽油经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安心码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核验把关，有效排查</w:t>
      </w:r>
      <w:r>
        <w:rPr>
          <w:rFonts w:ascii="Times New Roman" w:hAnsi="Times New Roman" w:eastAsia="仿宋_GB2312"/>
          <w:sz w:val="32"/>
          <w:szCs w:val="32"/>
        </w:rPr>
        <w:t>300</w:t>
      </w:r>
      <w:r>
        <w:rPr>
          <w:rFonts w:hint="eastAsia" w:ascii="Times New Roman" w:hAnsi="Times New Roman" w:eastAsia="仿宋_GB2312"/>
          <w:sz w:val="32"/>
          <w:szCs w:val="32"/>
        </w:rPr>
        <w:t>余条人员异常风险信息。</w:t>
      </w:r>
      <w:r>
        <w:rPr>
          <w:rFonts w:hint="eastAsia" w:ascii="Times New Roman" w:hAnsi="Times New Roman" w:eastAsia="仿宋_GB2312"/>
          <w:b/>
          <w:sz w:val="32"/>
          <w:szCs w:val="32"/>
        </w:rPr>
        <w:t>三是</w:t>
      </w:r>
      <w:r>
        <w:rPr>
          <w:rFonts w:hint="eastAsia" w:ascii="Times New Roman" w:hAnsi="Times New Roman" w:eastAsia="仿宋_GB2312"/>
          <w:sz w:val="32"/>
          <w:szCs w:val="32"/>
        </w:rPr>
        <w:t>建立日常监管案源线索移送机制，今年向市场局移送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起违法违规案源线索。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111111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color w:val="111111"/>
          <w:sz w:val="32"/>
          <w:szCs w:val="32"/>
          <w:shd w:val="clear" w:color="auto" w:fill="FFFFFF"/>
        </w:rPr>
        <w:t>五、有效应对纠纷，依法化解商务领域社会矛盾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FF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积极依法做好信访工作，进一步健全完善了接访登记制度，</w:t>
      </w:r>
      <w:r>
        <w:rPr>
          <w:rFonts w:hint="eastAsia" w:ascii="Times New Roman" w:hAnsi="Times New Roman" w:eastAsia="仿宋_GB2312"/>
          <w:sz w:val="32"/>
          <w:szCs w:val="32"/>
        </w:rPr>
        <w:t>确保信访问题事事有回音、件件有答复，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2019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年共接待来人来访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200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余人次，处理各类咨询、信访类事件</w:t>
      </w:r>
      <w:r>
        <w:rPr>
          <w:rFonts w:ascii="Times New Roman" w:hAnsi="Times New Roman" w:eastAsia="仿宋_GB2312"/>
          <w:color w:val="111111"/>
          <w:sz w:val="32"/>
          <w:szCs w:val="32"/>
          <w:shd w:val="clear" w:color="auto" w:fill="FFFFFF"/>
        </w:rPr>
        <w:t>128</w:t>
      </w:r>
      <w:r>
        <w:rPr>
          <w:rFonts w:hint="eastAsia" w:ascii="Times New Roman" w:hAnsi="Times New Roman" w:eastAsia="仿宋_GB2312"/>
          <w:color w:val="111111"/>
          <w:sz w:val="32"/>
          <w:szCs w:val="32"/>
          <w:shd w:val="clear" w:color="auto" w:fill="FFFFFF"/>
        </w:rPr>
        <w:t>件，无投诉或超时办理的情况。</w:t>
      </w:r>
    </w:p>
    <w:p>
      <w:pPr>
        <w:spacing w:line="580" w:lineRule="exact"/>
        <w:ind w:firstLine="4499" w:firstLineChars="1406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4678" w:firstLineChars="1462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绍兴市商务局</w:t>
      </w:r>
    </w:p>
    <w:p>
      <w:pPr>
        <w:spacing w:line="580" w:lineRule="exact"/>
        <w:ind w:firstLine="4678" w:firstLineChars="1462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>
      <w:pPr>
        <w:pStyle w:val="2"/>
        <w:widowControl w:val="0"/>
        <w:rPr>
          <w:rFonts w:ascii="Times New Roman" w:hAnsi="Times New Roman"/>
        </w:rPr>
        <w:sectPr>
          <w:footerReference r:id="rId3" w:type="default"/>
          <w:footerReference r:id="rId4" w:type="even"/>
          <w:pgSz w:w="11906" w:h="16838"/>
          <w:pgMar w:top="2098" w:right="1531" w:bottom="1871" w:left="1531" w:header="851" w:footer="1531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>
      <w:pPr>
        <w:pStyle w:val="2"/>
        <w:widowControl w:val="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widowControl w:val="0"/>
        <w:rPr>
          <w:rFonts w:ascii="Times New Roman" w:hAnsi="Times New Roman"/>
        </w:rPr>
      </w:pPr>
    </w:p>
    <w:p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>
      <w:pPr>
        <w:pStyle w:val="2"/>
        <w:widowControl w:val="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widowControl w:val="0"/>
        <w:spacing w:before="0" w:beforeAutospacing="0" w:after="0" w:afterAutospacing="0"/>
        <w:rPr>
          <w:rFonts w:ascii="Times New Roman" w:hAnsi="Times New Roman"/>
        </w:rPr>
      </w:pPr>
    </w:p>
    <w:p>
      <w:pPr>
        <w:jc w:val="left"/>
        <w:outlineLvl w:val="0"/>
        <w:rPr>
          <w:rFonts w:ascii="Times New Roman" w:hAnsi="Times New Roman"/>
        </w:rPr>
      </w:pPr>
    </w:p>
    <w:p>
      <w:pPr>
        <w:pStyle w:val="2"/>
        <w:widowControl w:val="0"/>
        <w:spacing w:before="0" w:beforeAutospacing="0" w:after="0" w:afterAutospacing="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widowControl w:val="0"/>
        <w:rPr>
          <w:rFonts w:ascii="Times New Roman" w:hAnsi="Times New Roman"/>
        </w:rPr>
      </w:pPr>
    </w:p>
    <w:p/>
    <w:p/>
    <w:p>
      <w:pPr>
        <w:pStyle w:val="2"/>
      </w:pPr>
    </w:p>
    <w:p/>
    <w:p>
      <w:pPr>
        <w:pStyle w:val="2"/>
        <w:widowControl w:val="0"/>
      </w:pPr>
    </w:p>
    <w:p>
      <w:pPr>
        <w:spacing w:line="240" w:lineRule="exact"/>
      </w:pPr>
    </w:p>
    <w:p>
      <w:pPr>
        <w:rPr>
          <w:rFonts w:ascii="Times New Roman" w:hAnsi="Times New Roman"/>
        </w:rPr>
      </w:pPr>
    </w:p>
    <w:p>
      <w:pPr>
        <w:pStyle w:val="2"/>
        <w:spacing w:before="0" w:beforeAutospacing="0" w:after="0" w:afterAutospacing="0" w:line="240" w:lineRule="exact"/>
      </w:pPr>
    </w:p>
    <w:p>
      <w:pPr>
        <w:jc w:val="center"/>
        <w:rPr>
          <w:rFonts w:ascii="Times New Roman" w:hAnsi="Times New Roman" w:eastAsia="仿宋_GB2312"/>
          <w:sz w:val="28"/>
          <w:szCs w:val="28"/>
        </w:rPr>
      </w:pPr>
      <w:r>
        <w:pict>
          <v:shape id="自选图形 4" o:spid="_x0000_s1027" o:spt="32" type="#_x0000_t32" style="position:absolute;left:0pt;margin-left:-2.05pt;margin-top:0.05pt;height:0pt;width:446.2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自选图形 20" o:spid="_x0000_s1028" o:spt="32" type="#_x0000_t32" style="position:absolute;left:0pt;margin-left:-2.05pt;margin-top:29.15pt;height:0pt;width:446.25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矩形 3" o:spid="_x0000_s1029" o:spt="1" style="position:absolute;left:0pt;margin-left:-18pt;margin-top:53.05pt;height:54.6pt;width:94.5pt;z-index:251661312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rPr>
          <w:rFonts w:hint="eastAsia" w:ascii="Times New Roman" w:hAnsi="Times New Roman" w:eastAsia="仿宋_GB2312"/>
          <w:sz w:val="28"/>
          <w:szCs w:val="28"/>
        </w:rPr>
        <w:t>绍兴市商务局办公室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2020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</w:rPr>
        <w:t>10</w:t>
      </w:r>
      <w:r>
        <w:rPr>
          <w:rFonts w:hint="eastAsia" w:ascii="Times New Roman" w:hAnsi="Times New Roman" w:eastAsia="仿宋_GB2312"/>
          <w:sz w:val="28"/>
          <w:szCs w:val="28"/>
        </w:rPr>
        <w:t>日印发</w:t>
      </w:r>
    </w:p>
    <w:sectPr>
      <w:footerReference r:id="rId5" w:type="default"/>
      <w:pgSz w:w="11906" w:h="16838"/>
      <w:pgMar w:top="2098" w:right="1531" w:bottom="1871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4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E99"/>
    <w:rsid w:val="00055CCA"/>
    <w:rsid w:val="00072887"/>
    <w:rsid w:val="000D565D"/>
    <w:rsid w:val="00181D78"/>
    <w:rsid w:val="001C7454"/>
    <w:rsid w:val="002A1E64"/>
    <w:rsid w:val="002C2A99"/>
    <w:rsid w:val="002D20C6"/>
    <w:rsid w:val="00315BFC"/>
    <w:rsid w:val="00316C44"/>
    <w:rsid w:val="00352DD8"/>
    <w:rsid w:val="00365570"/>
    <w:rsid w:val="003A63B8"/>
    <w:rsid w:val="003D702C"/>
    <w:rsid w:val="004235EB"/>
    <w:rsid w:val="00445C68"/>
    <w:rsid w:val="004708C1"/>
    <w:rsid w:val="004B7AC9"/>
    <w:rsid w:val="0058068F"/>
    <w:rsid w:val="005A5557"/>
    <w:rsid w:val="005D6F8D"/>
    <w:rsid w:val="005F2C03"/>
    <w:rsid w:val="0064524D"/>
    <w:rsid w:val="00681BEC"/>
    <w:rsid w:val="00693527"/>
    <w:rsid w:val="00726DCD"/>
    <w:rsid w:val="007C0611"/>
    <w:rsid w:val="007E114B"/>
    <w:rsid w:val="007E5F5C"/>
    <w:rsid w:val="008015A0"/>
    <w:rsid w:val="00840940"/>
    <w:rsid w:val="00845BB5"/>
    <w:rsid w:val="00891B79"/>
    <w:rsid w:val="008A1E99"/>
    <w:rsid w:val="008B26C8"/>
    <w:rsid w:val="008F1D3D"/>
    <w:rsid w:val="009851F9"/>
    <w:rsid w:val="009A3A36"/>
    <w:rsid w:val="00A2600E"/>
    <w:rsid w:val="00A95286"/>
    <w:rsid w:val="00AC504F"/>
    <w:rsid w:val="00B036F0"/>
    <w:rsid w:val="00B57160"/>
    <w:rsid w:val="00B77878"/>
    <w:rsid w:val="00BD3FB6"/>
    <w:rsid w:val="00C85A4B"/>
    <w:rsid w:val="00CD08FD"/>
    <w:rsid w:val="00CD6007"/>
    <w:rsid w:val="00D2449F"/>
    <w:rsid w:val="00D35EEF"/>
    <w:rsid w:val="00D80034"/>
    <w:rsid w:val="00DE5691"/>
    <w:rsid w:val="00F3529F"/>
    <w:rsid w:val="00F5733F"/>
    <w:rsid w:val="00F818A9"/>
    <w:rsid w:val="00FC68AC"/>
    <w:rsid w:val="00FF7876"/>
    <w:rsid w:val="05030E93"/>
    <w:rsid w:val="059E1FAE"/>
    <w:rsid w:val="068C1CF8"/>
    <w:rsid w:val="083271F1"/>
    <w:rsid w:val="08EE1AFC"/>
    <w:rsid w:val="0A983EA2"/>
    <w:rsid w:val="0D5B1B59"/>
    <w:rsid w:val="132A1A34"/>
    <w:rsid w:val="172B2D6D"/>
    <w:rsid w:val="1A9C2863"/>
    <w:rsid w:val="22F932D5"/>
    <w:rsid w:val="254D6447"/>
    <w:rsid w:val="264301CE"/>
    <w:rsid w:val="2887594C"/>
    <w:rsid w:val="2B584A2B"/>
    <w:rsid w:val="2D096DE3"/>
    <w:rsid w:val="2D1D7E8F"/>
    <w:rsid w:val="341836CC"/>
    <w:rsid w:val="389E4A68"/>
    <w:rsid w:val="3C4A6F4D"/>
    <w:rsid w:val="3C56276B"/>
    <w:rsid w:val="3D256626"/>
    <w:rsid w:val="40C7509B"/>
    <w:rsid w:val="4143638B"/>
    <w:rsid w:val="46A20CA1"/>
    <w:rsid w:val="4A79103E"/>
    <w:rsid w:val="4D95230A"/>
    <w:rsid w:val="4E83099E"/>
    <w:rsid w:val="537A501E"/>
    <w:rsid w:val="54105095"/>
    <w:rsid w:val="56006C24"/>
    <w:rsid w:val="611F6027"/>
    <w:rsid w:val="628F1C7D"/>
    <w:rsid w:val="68B648F6"/>
    <w:rsid w:val="69C86D10"/>
    <w:rsid w:val="6A382F34"/>
    <w:rsid w:val="6CEB459A"/>
    <w:rsid w:val="6DBC517F"/>
    <w:rsid w:val="6FBC458F"/>
    <w:rsid w:val="761B132A"/>
    <w:rsid w:val="783274A2"/>
    <w:rsid w:val="7845298F"/>
    <w:rsid w:val="799768EB"/>
    <w:rsid w:val="7A5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4"/>
        <o:r id="V:Rule2" type="connector" idref="#自选图形 2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24"/>
      <w:szCs w:val="20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Heading 1 Char"/>
    <w:basedOn w:val="7"/>
    <w:link w:val="2"/>
    <w:locked/>
    <w:uiPriority w:val="99"/>
    <w:rPr>
      <w:b/>
      <w:kern w:val="44"/>
      <w:sz w:val="44"/>
    </w:rPr>
  </w:style>
  <w:style w:type="character" w:customStyle="1" w:styleId="10">
    <w:name w:val="Footer Char"/>
    <w:basedOn w:val="7"/>
    <w:link w:val="3"/>
    <w:semiHidden/>
    <w:locked/>
    <w:uiPriority w:val="99"/>
    <w:rPr>
      <w:sz w:val="18"/>
    </w:rPr>
  </w:style>
  <w:style w:type="character" w:customStyle="1" w:styleId="11">
    <w:name w:val="Header Char"/>
    <w:basedOn w:val="7"/>
    <w:link w:val="4"/>
    <w:semiHidden/>
    <w:locked/>
    <w:uiPriority w:val="99"/>
    <w:rPr>
      <w:sz w:val="18"/>
    </w:rPr>
  </w:style>
  <w:style w:type="character" w:customStyle="1" w:styleId="12">
    <w:name w:val="Footer Char1"/>
    <w:link w:val="3"/>
    <w:locked/>
    <w:uiPriority w:val="99"/>
    <w:rPr>
      <w:rFonts w:ascii="Calibri" w:hAnsi="Calibri" w:eastAsia="宋体"/>
      <w:kern w:val="2"/>
      <w:sz w:val="24"/>
      <w:lang w:val="en-US" w:eastAsia="zh-CN"/>
    </w:rPr>
  </w:style>
  <w:style w:type="character" w:customStyle="1" w:styleId="13">
    <w:name w:val="Char Char1"/>
    <w:qFormat/>
    <w:uiPriority w:val="99"/>
    <w:rPr>
      <w:rFonts w:eastAsia="宋体"/>
      <w:color w:val="000000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Micorosoft</Company>
  <Pages>5</Pages>
  <Words>272</Words>
  <Characters>1557</Characters>
  <Lines>0</Lines>
  <Paragraphs>0</Paragraphs>
  <TotalTime>12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2019-05-17T06:19:00Z</cp:lastPrinted>
  <dcterms:modified xsi:type="dcterms:W3CDTF">2023-04-13T03:25:44Z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